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lang w:val="en-US" w:eastAsia="zh-CN"/>
        </w:rPr>
      </w:pPr>
      <w:bookmarkStart w:id="0" w:name="_Toc193024528"/>
      <w:r>
        <w:rPr>
          <w:rFonts w:hint="default" w:ascii="Arial" w:hAnsi="Arial" w:cs="Arial"/>
          <w:b/>
          <w:bCs/>
          <w:sz w:val="24"/>
          <w:szCs w:val="24"/>
          <w:lang w:val="en-US"/>
        </w:rPr>
        <w:t>3GPP TSG-RAN WG3 #117</w:t>
      </w:r>
      <w:r>
        <w:rPr>
          <w:rFonts w:hint="eastAsia" w:ascii="Arial" w:hAnsi="Arial" w:eastAsia="宋体" w:cs="Arial"/>
          <w:b/>
          <w:bCs/>
          <w:sz w:val="24"/>
          <w:szCs w:val="24"/>
          <w:lang w:val="en-US" w:eastAsia="zh-CN"/>
        </w:rPr>
        <w:t>bis</w:t>
      </w:r>
      <w:r>
        <w:rPr>
          <w:rFonts w:hint="default" w:ascii="Arial" w:hAnsi="Arial" w:cs="Arial"/>
          <w:b/>
          <w:bCs/>
          <w:sz w:val="24"/>
          <w:szCs w:val="24"/>
          <w:lang w:val="en-US"/>
        </w:rPr>
        <w:t>-e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default" w:ascii="Arial" w:hAnsi="Arial" w:cs="Arial"/>
          <w:b/>
          <w:bCs/>
          <w:iCs/>
          <w:sz w:val="24"/>
          <w:szCs w:val="24"/>
          <w:lang w:val="en-US"/>
        </w:rPr>
        <w:t>R3-22</w:t>
      </w:r>
      <w:r>
        <w:rPr>
          <w:rFonts w:hint="eastAsia" w:ascii="Arial" w:hAnsi="Arial" w:eastAsia="宋体" w:cs="Arial"/>
          <w:b/>
          <w:bCs/>
          <w:iCs/>
          <w:sz w:val="24"/>
          <w:szCs w:val="24"/>
          <w:lang w:val="en-US" w:eastAsia="zh-CN"/>
        </w:rPr>
        <w:t>5442</w:t>
      </w:r>
    </w:p>
    <w:p>
      <w:pPr>
        <w:overflowPunct w:val="0"/>
        <w:autoSpaceDE w:val="0"/>
        <w:jc w:val="both"/>
        <w:textAlignment w:val="baseline"/>
        <w:rPr>
          <w:rFonts w:hint="default" w:ascii="Arial" w:hAnsi="Arial" w:cs="Arial"/>
          <w:b/>
          <w:bCs/>
          <w:color w:val="000000"/>
          <w:sz w:val="24"/>
          <w:szCs w:val="24"/>
        </w:rPr>
      </w:pPr>
      <w:r>
        <w:rPr>
          <w:rFonts w:hint="default" w:ascii="Arial" w:hAnsi="Arial" w:cs="Arial"/>
          <w:b/>
          <w:bCs/>
          <w:color w:val="000000"/>
          <w:sz w:val="24"/>
          <w:szCs w:val="24"/>
        </w:rPr>
        <w:t>1</w:t>
      </w:r>
      <w:r>
        <w:rPr>
          <w:rFonts w:hint="eastAsia" w:ascii="Arial" w:hAnsi="Arial" w:cs="Arial"/>
          <w:b/>
          <w:bCs/>
          <w:color w:val="000000"/>
          <w:sz w:val="24"/>
          <w:szCs w:val="24"/>
          <w:lang w:val="en-US" w:eastAsia="zh-CN"/>
        </w:rPr>
        <w:t>0</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cs="Arial"/>
          <w:b/>
          <w:bCs/>
          <w:color w:val="000000"/>
          <w:sz w:val="24"/>
          <w:szCs w:val="24"/>
          <w:lang w:val="en-US" w:eastAsia="zh-CN"/>
        </w:rPr>
        <w:t>18</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rFonts w:hint="eastAsia" w:ascii="Arial" w:hAnsi="Arial" w:cs="Arial"/>
          <w:b/>
          <w:bCs/>
          <w:color w:val="000000"/>
          <w:sz w:val="24"/>
          <w:szCs w:val="24"/>
          <w:lang w:val="en-US" w:eastAsia="zh-CN"/>
        </w:rPr>
        <w:t>October</w:t>
      </w:r>
      <w:r>
        <w:rPr>
          <w:rFonts w:hint="default" w:ascii="Arial" w:hAnsi="Arial" w:cs="Arial"/>
          <w:b/>
          <w:bCs/>
          <w:color w:val="000000"/>
          <w:sz w:val="24"/>
          <w:szCs w:val="24"/>
        </w:rPr>
        <w:t xml:space="preserve"> 2022</w:t>
      </w:r>
    </w:p>
    <w:p>
      <w:pPr>
        <w:overflowPunct w:val="0"/>
        <w:autoSpaceDE w:val="0"/>
        <w:jc w:val="both"/>
        <w:textAlignment w:val="baseline"/>
        <w:rPr>
          <w:rFonts w:hint="default" w:ascii="Arial" w:hAnsi="Arial" w:eastAsia="Batang" w:cs="Arial"/>
          <w:b/>
          <w:bCs/>
          <w:color w:val="000000"/>
          <w:sz w:val="24"/>
          <w:szCs w:val="24"/>
        </w:rPr>
      </w:pPr>
      <w:r>
        <w:rPr>
          <w:rFonts w:hint="default" w:ascii="Arial" w:hAnsi="Arial" w:eastAsia="Batang" w:cs="Arial"/>
          <w:b/>
          <w:bCs/>
          <w:color w:val="000000"/>
          <w:sz w:val="24"/>
          <w:szCs w:val="24"/>
        </w:rPr>
        <w:t>Online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lang w:val="en-US" w:eastAsia="zh-CN"/>
        </w:rPr>
      </w:pPr>
      <w:r>
        <w:rPr>
          <w:rFonts w:hint="eastAsia" w:ascii="Times New Roman" w:hAnsi="Times New Roman" w:cs="Times New Roman"/>
          <w:lang w:val="en-US" w:eastAsia="zh-CN"/>
        </w:rPr>
        <w:t>During RAN</w:t>
      </w:r>
      <w:r>
        <w:rPr>
          <w:rFonts w:hint="eastAsia" w:cs="Times New Roman"/>
          <w:lang w:val="en-US" w:eastAsia="zh-CN"/>
        </w:rPr>
        <w:t>3#117 meeting</w:t>
      </w:r>
      <w:r>
        <w:rPr>
          <w:rFonts w:hint="eastAsia" w:ascii="Times New Roman" w:hAnsi="Times New Roman" w:cs="Times New Roman"/>
          <w:lang w:val="en-US" w:eastAsia="zh-CN"/>
        </w:rPr>
        <w:t xml:space="preserve">, </w:t>
      </w:r>
      <w:r>
        <w:rPr>
          <w:rFonts w:hint="eastAsia" w:cs="Times New Roman"/>
          <w:lang w:val="en-US" w:eastAsia="zh-CN"/>
        </w:rPr>
        <w:t>the PCI collision issue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29"/>
              <w:ind w:firstLine="0" w:firstLineChars="0"/>
              <w:rPr>
                <w:rFonts w:eastAsia="MS Mincho" w:cs="Calibri"/>
                <w:i/>
                <w:iCs/>
                <w:color w:val="00B050"/>
                <w:kern w:val="2"/>
                <w:sz w:val="20"/>
                <w:szCs w:val="20"/>
              </w:rPr>
            </w:pPr>
            <w:r>
              <w:rPr>
                <w:rFonts w:eastAsia="MS Mincho" w:cs="Calibri"/>
                <w:i/>
                <w:iCs/>
                <w:color w:val="00B050"/>
                <w:kern w:val="2"/>
                <w:sz w:val="20"/>
                <w:szCs w:val="20"/>
              </w:rPr>
              <w:t>PCI space partitioning via OAM configuration can be used in some cases for avoidance of PCI collisions.</w:t>
            </w:r>
          </w:p>
          <w:p>
            <w:pPr>
              <w:widowControl w:val="0"/>
              <w:ind w:left="144" w:hanging="144"/>
              <w:rPr>
                <w:rFonts w:ascii="Calibri" w:hAnsi="Calibri" w:cs="Calibri"/>
                <w:i/>
                <w:iCs/>
                <w:color w:val="00B050"/>
                <w:kern w:val="2"/>
                <w:sz w:val="20"/>
                <w:szCs w:val="20"/>
              </w:rPr>
            </w:pPr>
            <w:r>
              <w:rPr>
                <w:rFonts w:ascii="Calibri" w:hAnsi="Calibri" w:cs="Calibri"/>
                <w:i/>
                <w:iCs/>
                <w:color w:val="00B050"/>
                <w:kern w:val="2"/>
                <w:sz w:val="20"/>
                <w:szCs w:val="20"/>
              </w:rPr>
              <w:t xml:space="preserve">From RAN3 perspective, existing mechanism can be used for PCI collision detection in mobile IAB scenario. Further enhancement is FFS. </w:t>
            </w:r>
          </w:p>
          <w:p>
            <w:pPr>
              <w:widowControl w:val="0"/>
              <w:ind w:left="144" w:hanging="144"/>
              <w:rPr>
                <w:rFonts w:hint="eastAsia" w:cs="Times New Roman"/>
                <w:vertAlign w:val="baseline"/>
                <w:lang w:val="en-US" w:eastAsia="zh-CN"/>
              </w:rPr>
            </w:pPr>
            <w:r>
              <w:rPr>
                <w:rFonts w:ascii="Calibri" w:hAnsi="Calibri" w:cs="Calibri"/>
                <w:i/>
                <w:iCs/>
                <w:color w:val="00B050"/>
                <w:kern w:val="2"/>
                <w:sz w:val="20"/>
                <w:szCs w:val="20"/>
              </w:rPr>
              <w:t>RAN3 to discuss whether mobile IAB needs any enhancements to the existing mechanisms for PCI collision avoidance and/or optimization.</w:t>
            </w:r>
          </w:p>
        </w:tc>
      </w:tr>
    </w:tbl>
    <w:p>
      <w:pPr>
        <w:overflowPunct w:val="0"/>
        <w:autoSpaceDE w:val="0"/>
        <w:autoSpaceDN w:val="0"/>
        <w:adjustRightInd w:val="0"/>
        <w:spacing w:before="156" w:beforeLines="50"/>
        <w:jc w:val="both"/>
        <w:rPr>
          <w:rFonts w:hint="eastAsia" w:cs="Times New Roman"/>
          <w:sz w:val="21"/>
          <w:szCs w:val="21"/>
          <w:lang w:val="en-US" w:eastAsia="zh-CN"/>
        </w:rPr>
      </w:pPr>
      <w:r>
        <w:rPr>
          <w:rFonts w:hint="eastAsia" w:cs="Times New Roman"/>
          <w:lang w:val="en-US" w:eastAsia="zh-CN"/>
        </w:rPr>
        <w:t xml:space="preserve">In this paper, we will discuss the PCI collision issue and give our analysis on the potential enhancements and RAN3 impacts. </w:t>
      </w:r>
    </w:p>
    <w:p>
      <w:pPr>
        <w:pStyle w:val="2"/>
        <w:jc w:val="both"/>
        <w:rPr>
          <w:rFonts w:eastAsia="宋体"/>
          <w:lang w:eastAsia="zh-CN"/>
        </w:rPr>
      </w:pPr>
      <w:r>
        <w:rPr>
          <w:rFonts w:hint="eastAsia" w:eastAsia="宋体"/>
          <w:lang w:eastAsia="zh-CN"/>
        </w:rPr>
        <w:t>Discussion</w:t>
      </w:r>
    </w:p>
    <w:p>
      <w:pPr>
        <w:jc w:val="both"/>
        <w:rPr>
          <w:rFonts w:hint="eastAsia"/>
          <w:lang w:val="en-US" w:eastAsia="zh-CN"/>
        </w:rPr>
      </w:pPr>
      <w:r>
        <w:rPr>
          <w:rFonts w:hint="eastAsia"/>
          <w:lang w:val="en-US" w:eastAsia="zh-CN"/>
        </w:rPr>
        <w:t xml:space="preserve">According to the progress of last RAN3 meeting, the </w:t>
      </w:r>
      <w:r>
        <w:rPr>
          <w:rFonts w:hint="eastAsia"/>
          <w:lang w:eastAsia="zh-CN"/>
        </w:rPr>
        <w:t xml:space="preserve">PCI of mobile IAB-DU could be configured via OAM as in current specification. </w:t>
      </w:r>
      <w:r>
        <w:rPr>
          <w:rFonts w:hint="eastAsia"/>
          <w:lang w:val="en-US" w:eastAsia="zh-CN"/>
        </w:rPr>
        <w:t xml:space="preserve">To resolve the </w:t>
      </w:r>
      <w:r>
        <w:rPr>
          <w:rFonts w:hint="eastAsia"/>
          <w:lang w:eastAsia="zh-CN"/>
        </w:rPr>
        <w:t xml:space="preserve">PCI collision </w:t>
      </w:r>
      <w:r>
        <w:rPr>
          <w:rFonts w:hint="eastAsia"/>
          <w:lang w:val="en-US" w:eastAsia="zh-CN"/>
        </w:rPr>
        <w:t>b</w:t>
      </w:r>
      <w:r>
        <w:rPr>
          <w:rFonts w:hint="eastAsia"/>
          <w:lang w:eastAsia="zh-CN"/>
        </w:rPr>
        <w:t>etween mobile IAB-DU cell and fixed cell, and between mobile IAB-DU cells</w:t>
      </w:r>
      <w:r>
        <w:rPr>
          <w:rFonts w:hint="eastAsia"/>
          <w:lang w:val="en-US" w:eastAsia="zh-CN"/>
        </w:rPr>
        <w:t xml:space="preserve">, most companies think that </w:t>
      </w:r>
      <w:r>
        <w:rPr>
          <w:rFonts w:hint="eastAsia"/>
          <w:lang w:eastAsia="zh-CN"/>
        </w:rPr>
        <w:t xml:space="preserve">PCI </w:t>
      </w:r>
      <w:r>
        <w:t>partition</w:t>
      </w:r>
      <w:r>
        <w:rPr>
          <w:rFonts w:hint="eastAsia"/>
          <w:lang w:eastAsia="zh-CN"/>
        </w:rPr>
        <w:t>ing (i.e. dedicated PCI space) could be used for mobile IAB to avoid PCI collision between mobile IAB-DU cell and fixed cells when the trajectory of mobile IAB node is predictable.</w:t>
      </w:r>
      <w:r>
        <w:rPr>
          <w:rFonts w:hint="eastAsia"/>
          <w:lang w:val="en-US" w:eastAsia="zh-CN"/>
        </w:rPr>
        <w:t xml:space="preserve"> However, this may be not enough. As pointed out by some companies, </w:t>
      </w:r>
      <w:r>
        <w:t>PCI partitioning to avoid PCI collision for mobile IAB</w:t>
      </w:r>
      <w:r>
        <w:rPr>
          <w:rFonts w:hint="eastAsia"/>
          <w:lang w:val="en-US" w:eastAsia="zh-CN"/>
        </w:rPr>
        <w:t xml:space="preserve"> may be not always</w:t>
      </w:r>
      <w:r>
        <w:t xml:space="preserve"> practical </w:t>
      </w:r>
      <w:r>
        <w:rPr>
          <w:rFonts w:hint="eastAsia"/>
          <w:lang w:val="en-US" w:eastAsia="zh-CN"/>
        </w:rPr>
        <w:t xml:space="preserve">since </w:t>
      </w:r>
      <w:r>
        <w:t xml:space="preserve">only 1008 PCI values </w:t>
      </w:r>
      <w:r>
        <w:rPr>
          <w:rFonts w:hint="eastAsia"/>
          <w:lang w:val="en-US" w:eastAsia="zh-CN"/>
        </w:rPr>
        <w:t xml:space="preserve">are </w:t>
      </w:r>
      <w:r>
        <w:t>available</w:t>
      </w:r>
      <w:r>
        <w:rPr>
          <w:rFonts w:hint="eastAsia"/>
          <w:lang w:val="en-US" w:eastAsia="zh-CN"/>
        </w:rPr>
        <w:t xml:space="preserve">. </w:t>
      </w:r>
    </w:p>
    <w:p>
      <w:pPr>
        <w:jc w:val="both"/>
        <w:rPr>
          <w:rFonts w:hint="eastAsia"/>
          <w:lang w:val="en-US" w:eastAsia="zh-CN"/>
        </w:rPr>
      </w:pPr>
      <w:r>
        <w:rPr>
          <w:rFonts w:hint="eastAsia"/>
          <w:lang w:val="en-US" w:eastAsia="zh-CN"/>
        </w:rPr>
        <w:t>On the other hand, it has been agreed that existing mechanism can be used for PCI collision detection in mobile IAB scenario. According to the existing specification, both centralized PCI assignment and distributed PCI assignment are supported. To be specific:</w:t>
      </w:r>
    </w:p>
    <w:p>
      <w:pPr>
        <w:numPr>
          <w:ilvl w:val="0"/>
          <w:numId w:val="13"/>
        </w:numPr>
        <w:ind w:left="420" w:leftChars="0" w:hanging="420" w:firstLineChars="0"/>
        <w:jc w:val="both"/>
        <w:rPr>
          <w:highlight w:val="none"/>
          <w:lang w:val="en-US" w:eastAsia="zh-CN"/>
        </w:rPr>
      </w:pPr>
      <w:r>
        <w:rPr>
          <w:rFonts w:hint="eastAsia"/>
          <w:highlight w:val="none"/>
          <w:lang w:val="en-US" w:eastAsia="zh-CN"/>
        </w:rPr>
        <w:t xml:space="preserve">Centralized PCI assignment: </w:t>
      </w:r>
      <w:r>
        <w:rPr>
          <w:highlight w:val="none"/>
          <w:lang w:eastAsia="zh-CN"/>
        </w:rPr>
        <w:t xml:space="preserve">the OAM </w:t>
      </w:r>
      <w:r>
        <w:rPr>
          <w:rFonts w:hint="eastAsia"/>
          <w:highlight w:val="none"/>
          <w:lang w:val="en-US" w:eastAsia="zh-CN"/>
        </w:rPr>
        <w:t xml:space="preserve">may </w:t>
      </w:r>
      <w:r>
        <w:rPr>
          <w:highlight w:val="none"/>
          <w:lang w:eastAsia="zh-CN"/>
        </w:rPr>
        <w:t>assign a single PCI for each NR cell in the gNB, and the gNB selects this value as the PCI of the NR cell.</w:t>
      </w:r>
      <w:r>
        <w:rPr>
          <w:rFonts w:hint="eastAsia"/>
          <w:highlight w:val="none"/>
          <w:lang w:val="en-US" w:eastAsia="zh-CN"/>
        </w:rPr>
        <w:t xml:space="preserve"> </w:t>
      </w:r>
      <w:r>
        <w:rPr>
          <w:rFonts w:hint="eastAsia"/>
          <w:lang w:val="en-US" w:eastAsia="zh-CN"/>
        </w:rPr>
        <w:t>With regard to the s</w:t>
      </w:r>
      <w:r>
        <w:rPr>
          <w:lang w:val="en-US" w:eastAsia="zh-CN"/>
        </w:rPr>
        <w:t xml:space="preserve">plit gNB architecture, the OAM </w:t>
      </w:r>
      <w:r>
        <w:rPr>
          <w:rFonts w:hint="eastAsia"/>
          <w:lang w:val="en-US" w:eastAsia="zh-CN"/>
        </w:rPr>
        <w:t xml:space="preserve">may </w:t>
      </w:r>
      <w:r>
        <w:rPr>
          <w:lang w:val="en-US" w:eastAsia="zh-CN"/>
        </w:rPr>
        <w:t>configure a PCI for each NR cell to the gNB-DU</w:t>
      </w:r>
      <w:r>
        <w:rPr>
          <w:rFonts w:hint="eastAsia"/>
          <w:lang w:val="en-US" w:eastAsia="zh-CN"/>
        </w:rPr>
        <w:t xml:space="preserve"> and gNB-DU report this to gNB-CU. If</w:t>
      </w:r>
      <w:r>
        <w:rPr>
          <w:lang w:val="en-US" w:eastAsia="zh-CN"/>
        </w:rPr>
        <w:t xml:space="preserve"> the gNB-CU detects PCI conflict of NR cells</w:t>
      </w:r>
      <w:r>
        <w:rPr>
          <w:rFonts w:hint="eastAsia"/>
          <w:lang w:val="en-US" w:eastAsia="zh-CN"/>
        </w:rPr>
        <w:t xml:space="preserve">, it </w:t>
      </w:r>
      <w:r>
        <w:rPr>
          <w:lang w:val="en-US" w:eastAsia="zh-CN"/>
        </w:rPr>
        <w:t>reports the NR cells suffering PCI conflict to OAM directly. The OAM is in charge of reassigning a new PCI for the NR cell subject to PCI conflict.</w:t>
      </w:r>
      <w:r>
        <w:rPr>
          <w:rFonts w:hint="eastAsia"/>
          <w:lang w:val="en-US" w:eastAsia="zh-CN"/>
        </w:rPr>
        <w:t xml:space="preserve"> </w:t>
      </w:r>
    </w:p>
    <w:p>
      <w:pPr>
        <w:numPr>
          <w:ilvl w:val="0"/>
          <w:numId w:val="13"/>
        </w:numPr>
        <w:ind w:left="420" w:leftChars="0" w:hanging="420" w:firstLineChars="0"/>
        <w:jc w:val="both"/>
        <w:rPr>
          <w:highlight w:val="none"/>
          <w:lang w:val="en-US" w:eastAsia="zh-CN"/>
        </w:rPr>
      </w:pPr>
      <w:r>
        <w:rPr>
          <w:rFonts w:hint="eastAsia"/>
          <w:highlight w:val="none"/>
          <w:lang w:val="en-US" w:eastAsia="zh-CN"/>
        </w:rPr>
        <w:t xml:space="preserve">Distributed PCI assignment: </w:t>
      </w:r>
      <w:r>
        <w:rPr>
          <w:highlight w:val="none"/>
          <w:lang w:eastAsia="zh-CN"/>
        </w:rPr>
        <w:t xml:space="preserve">the OAM </w:t>
      </w:r>
      <w:r>
        <w:rPr>
          <w:rFonts w:hint="eastAsia"/>
          <w:highlight w:val="none"/>
          <w:lang w:val="en-US" w:eastAsia="zh-CN"/>
        </w:rPr>
        <w:t xml:space="preserve">may </w:t>
      </w:r>
      <w:r>
        <w:rPr>
          <w:highlight w:val="none"/>
          <w:lang w:eastAsia="zh-CN"/>
        </w:rPr>
        <w:t xml:space="preserve">assign a list of PCIs for each NR cell in the gNB, and the gNB selects a PCI value from the list of PCIs. The gNB may restrict this list by removing some </w:t>
      </w:r>
      <w:r>
        <w:rPr>
          <w:rFonts w:hint="eastAsia"/>
          <w:highlight w:val="none"/>
          <w:lang w:val="en-US" w:eastAsia="zh-CN"/>
        </w:rPr>
        <w:t xml:space="preserve">potential collided </w:t>
      </w:r>
      <w:r>
        <w:rPr>
          <w:highlight w:val="none"/>
          <w:lang w:eastAsia="zh-CN"/>
        </w:rPr>
        <w:t xml:space="preserve">PCIs that are reported by UEs, reported over the Xn interface by neighboring gNBs, and/or </w:t>
      </w:r>
      <w:r>
        <w:rPr>
          <w:highlight w:val="none"/>
        </w:rPr>
        <w:t>acquired through other methods, e.g. detected over the air using a downlink receiver.</w:t>
      </w:r>
      <w:r>
        <w:rPr>
          <w:rFonts w:hint="eastAsia"/>
          <w:highlight w:val="none"/>
          <w:lang w:val="en-US" w:eastAsia="zh-CN"/>
        </w:rPr>
        <w:t xml:space="preserve"> </w:t>
      </w:r>
      <w:r>
        <w:rPr>
          <w:rFonts w:hint="eastAsia"/>
          <w:lang w:val="en-US" w:eastAsia="zh-CN"/>
        </w:rPr>
        <w:t>With regard to the s</w:t>
      </w:r>
      <w:r>
        <w:rPr>
          <w:lang w:val="en-US" w:eastAsia="zh-CN"/>
        </w:rPr>
        <w:t xml:space="preserve">plit gNB architecture, </w:t>
      </w:r>
      <w:r>
        <w:rPr>
          <w:highlight w:val="none"/>
          <w:lang w:val="en-US" w:eastAsia="zh-CN"/>
        </w:rPr>
        <w:t xml:space="preserve">the OAM </w:t>
      </w:r>
      <w:r>
        <w:rPr>
          <w:rFonts w:hint="eastAsia"/>
          <w:highlight w:val="none"/>
          <w:lang w:val="en-US" w:eastAsia="zh-CN"/>
        </w:rPr>
        <w:t xml:space="preserve">may </w:t>
      </w:r>
      <w:r>
        <w:rPr>
          <w:highlight w:val="none"/>
          <w:lang w:val="en-US" w:eastAsia="zh-CN"/>
        </w:rPr>
        <w:t>assign</w:t>
      </w:r>
      <w:r>
        <w:rPr>
          <w:rFonts w:hint="eastAsia"/>
          <w:highlight w:val="none"/>
          <w:lang w:val="en-US" w:eastAsia="zh-CN"/>
        </w:rPr>
        <w:t xml:space="preserve"> </w:t>
      </w:r>
      <w:r>
        <w:rPr>
          <w:highlight w:val="none"/>
          <w:lang w:val="en-US" w:eastAsia="zh-CN"/>
        </w:rPr>
        <w:t>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p>
    <w:p>
      <w:pPr>
        <w:numPr>
          <w:ilvl w:val="-1"/>
          <w:numId w:val="0"/>
        </w:numPr>
        <w:jc w:val="both"/>
        <w:rPr>
          <w:rFonts w:hint="default"/>
          <w:b/>
          <w:bCs/>
          <w:highlight w:val="none"/>
          <w:lang w:val="en-US" w:eastAsia="zh-CN"/>
        </w:rPr>
      </w:pPr>
      <w:r>
        <w:rPr>
          <w:rFonts w:hint="eastAsia"/>
          <w:b/>
          <w:bCs/>
          <w:highlight w:val="none"/>
          <w:lang w:val="en-US" w:eastAsia="zh-CN"/>
        </w:rPr>
        <w:t xml:space="preserve">Observation 1: According to the legacy specification, once PCI collision is detected, the CU may request a new PCI from OAM or </w:t>
      </w:r>
      <w:r>
        <w:rPr>
          <w:b/>
          <w:bCs/>
          <w:highlight w:val="none"/>
          <w:lang w:val="en-US" w:eastAsia="zh-CN"/>
        </w:rPr>
        <w:t>select a new PCI value from the pre-configured PCI list for the NR cell</w:t>
      </w:r>
      <w:r>
        <w:rPr>
          <w:rFonts w:hint="eastAsia"/>
          <w:b/>
          <w:bCs/>
          <w:highlight w:val="none"/>
          <w:lang w:val="en-US" w:eastAsia="zh-CN"/>
        </w:rPr>
        <w:t xml:space="preserve">, </w:t>
      </w:r>
      <w:r>
        <w:rPr>
          <w:b/>
          <w:bCs/>
          <w:highlight w:val="none"/>
          <w:lang w:val="en-US" w:eastAsia="zh-CN"/>
        </w:rPr>
        <w:t>and send it to the gNB-DU by either F1 Setup procedure or gNB-CU configuration update procedure</w:t>
      </w:r>
      <w:r>
        <w:rPr>
          <w:rFonts w:hint="eastAsia"/>
          <w:b/>
          <w:bCs/>
          <w:highlight w:val="none"/>
          <w:lang w:val="en-US" w:eastAsia="zh-CN"/>
        </w:rPr>
        <w:t xml:space="preserve">. </w:t>
      </w:r>
    </w:p>
    <w:p>
      <w:pPr>
        <w:numPr>
          <w:ilvl w:val="-1"/>
          <w:numId w:val="0"/>
        </w:numPr>
        <w:jc w:val="both"/>
        <w:rPr>
          <w:rFonts w:hint="eastAsia"/>
          <w:b w:val="0"/>
          <w:bCs w:val="0"/>
          <w:highlight w:val="none"/>
          <w:lang w:val="en-US" w:eastAsia="zh-CN"/>
        </w:rPr>
      </w:pPr>
      <w:r>
        <w:rPr>
          <w:rFonts w:hint="eastAsia"/>
          <w:highlight w:val="none"/>
          <w:lang w:val="en-US" w:eastAsia="zh-CN"/>
        </w:rPr>
        <w:t xml:space="preserve">When it comes to the mobile IAB scenario, the donor CU should be able to know the PCI used by the mobile IAB-DU via the  </w:t>
      </w:r>
      <w:r>
        <w:rPr>
          <w:highlight w:val="none"/>
          <w:lang w:val="en-US" w:eastAsia="zh-CN"/>
        </w:rPr>
        <w:t>F1 Setup procedure</w:t>
      </w:r>
      <w:r>
        <w:rPr>
          <w:rFonts w:hint="eastAsia"/>
          <w:highlight w:val="none"/>
          <w:lang w:val="en-US" w:eastAsia="zh-CN"/>
        </w:rPr>
        <w:t>. During the full migration, the target donor CU</w:t>
      </w:r>
      <w:r>
        <w:rPr>
          <w:rFonts w:hint="eastAsia"/>
          <w:lang w:val="en-US" w:eastAsia="zh-CN"/>
        </w:rPr>
        <w:t xml:space="preserve"> could detect PCI collision upon receiving the F1 setup request (which include the PCI used by the mobile IAB-DU)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w:t>
      </w:r>
    </w:p>
    <w:p>
      <w:pPr>
        <w:numPr>
          <w:ilvl w:val="-1"/>
          <w:numId w:val="0"/>
        </w:numPr>
        <w:jc w:val="both"/>
        <w:rPr>
          <w:rFonts w:hint="default" w:eastAsia="等线"/>
          <w:lang w:val="en-US" w:eastAsia="zh-CN"/>
        </w:rPr>
      </w:pPr>
      <w:r>
        <w:rPr>
          <w:rFonts w:hint="eastAsia"/>
          <w:lang w:val="en-US" w:eastAsia="zh-CN"/>
        </w:rPr>
        <w:t xml:space="preserve">When it comes to the partial migration, </w:t>
      </w:r>
      <w:r>
        <w:rPr>
          <w:rFonts w:hint="eastAsia" w:eastAsia="等线"/>
          <w:lang w:val="en-US" w:eastAsia="zh-CN"/>
        </w:rPr>
        <w:t>the mobile IAB-DU has only F1 connection with F1-terminating donor CU and won</w:t>
      </w:r>
      <w:r>
        <w:rPr>
          <w:rFonts w:hint="default" w:eastAsia="等线"/>
          <w:lang w:val="en-US" w:eastAsia="zh-CN"/>
        </w:rPr>
        <w:t>’</w:t>
      </w:r>
      <w:r>
        <w:rPr>
          <w:rFonts w:hint="eastAsia" w:eastAsia="等线"/>
          <w:lang w:val="en-US" w:eastAsia="zh-CN"/>
        </w:rPr>
        <w:t xml:space="preserve">t send F1 setup request to target donor CU of mobile IAB-MT. It is questionable how the target donor CU of mobile IAB-MT be informed of the PCI collision of mobile IAB-DU. In our opinion, this issue can be solved if there is Xn connection between the F1-terminating donor CU and target donor CU. To be specific,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eastAsia="等线"/>
          <w:lang w:val="en-US" w:eastAsia="zh-CN"/>
        </w:rPr>
        <w:t xml:space="preserve">. Thus F1-terminating donor CU can detect potential PCI collision and then reconfigure the PCI for mobile IAB-DU when necessary. However, if the Xn connection is not available, it is hard for the F1-terminating donor CU to be aware of the PCI collision. On the other hand, the PCI reconfiguration after the F1 connection SETUP or </w:t>
      </w:r>
      <w:r>
        <w:rPr>
          <w:rFonts w:hint="eastAsia"/>
          <w:lang w:val="en-US" w:eastAsia="zh-CN"/>
        </w:rPr>
        <w:t>NG-RAN node CONFIGURATION UPDATE</w:t>
      </w:r>
      <w:r>
        <w:rPr>
          <w:rFonts w:hint="eastAsia" w:eastAsia="等线"/>
          <w:lang w:val="en-US" w:eastAsia="zh-CN"/>
        </w:rPr>
        <w:t xml:space="preserve"> may lead to longer latency and cause interference to neighbor cells. Based on this observation, it is suggesed that the new PCI be reconfigured as soon as possible once the potential collision may happen. </w:t>
      </w:r>
    </w:p>
    <w:p>
      <w:pPr>
        <w:numPr>
          <w:ilvl w:val="-1"/>
          <w:numId w:val="0"/>
        </w:numPr>
        <w:jc w:val="both"/>
        <w:rPr>
          <w:rFonts w:hint="eastAsia"/>
          <w:color w:val="auto"/>
          <w:highlight w:val="none"/>
          <w:lang w:val="en-US" w:eastAsia="zh-CN"/>
        </w:rPr>
      </w:pPr>
      <w:r>
        <w:rPr>
          <w:rFonts w:hint="eastAsia" w:eastAsia="等线"/>
          <w:lang w:val="en-US" w:eastAsia="zh-CN"/>
        </w:rPr>
        <w:t xml:space="preserve">To solve this problem, </w:t>
      </w:r>
      <w:r>
        <w:rPr>
          <w:rFonts w:hint="eastAsia"/>
          <w:color w:val="auto"/>
          <w:highlight w:val="none"/>
          <w:lang w:val="en-US" w:eastAsia="zh-CN"/>
        </w:rPr>
        <w:t>the PCI used by mobile IAB DU</w:t>
      </w:r>
      <w:r>
        <w:rPr>
          <w:rFonts w:hint="default"/>
          <w:color w:val="auto"/>
          <w:highlight w:val="none"/>
          <w:lang w:val="en-US" w:eastAsia="zh-CN"/>
        </w:rPr>
        <w:t>’</w:t>
      </w:r>
      <w:r>
        <w:rPr>
          <w:rFonts w:hint="eastAsia"/>
          <w:color w:val="auto"/>
          <w:highlight w:val="none"/>
          <w:lang w:val="en-US" w:eastAsia="zh-CN"/>
        </w:rPr>
        <w:t>s cells may be sent by source donor CU to the target donor CU during HO preparation phase of mobile IAB-MT. If the target donor CU receives the PCI of mobile IAB DU</w:t>
      </w:r>
      <w:r>
        <w:rPr>
          <w:rFonts w:hint="default"/>
          <w:color w:val="auto"/>
          <w:highlight w:val="none"/>
          <w:lang w:val="en-US" w:eastAsia="zh-CN"/>
        </w:rPr>
        <w:t>’</w:t>
      </w:r>
      <w:r>
        <w:rPr>
          <w:rFonts w:hint="eastAsia"/>
          <w:color w:val="auto"/>
          <w:highlight w:val="none"/>
          <w:lang w:val="en-US" w:eastAsia="zh-CN"/>
        </w:rPr>
        <w:t>s cells and detects PCI collision, the target donor CU may re-assign the PCI for the mobile IAB-DU</w:t>
      </w:r>
      <w:r>
        <w:rPr>
          <w:rFonts w:hint="default"/>
          <w:color w:val="auto"/>
          <w:highlight w:val="none"/>
          <w:lang w:val="en-US" w:eastAsia="zh-CN"/>
        </w:rPr>
        <w:t>’</w:t>
      </w:r>
      <w:r>
        <w:rPr>
          <w:rFonts w:hint="eastAsia"/>
          <w:color w:val="auto"/>
          <w:highlight w:val="none"/>
          <w:lang w:val="en-US" w:eastAsia="zh-CN"/>
        </w:rPr>
        <w:t xml:space="preserve">s cells via the RRCReconfiguration message and send it to source donor CU. Upon receiving the Reconfigurationwithsync from source donor CU, the mobile IAB-MT deliver the new PCI configuration of mobile IAB cells to the collocated mobile IAB-DU, which will then broadcast the update of PCI via system information. In this way, the PCI collistion is resolved. </w:t>
      </w:r>
    </w:p>
    <w:p>
      <w:pPr>
        <w:numPr>
          <w:ilvl w:val="-1"/>
          <w:numId w:val="0"/>
        </w:numPr>
        <w:jc w:val="both"/>
        <w:rPr>
          <w:rFonts w:hint="default" w:ascii="Times New Roman" w:hAnsi="Times New Roman" w:cs="Times New Roman"/>
          <w:b/>
          <w:bCs/>
          <w:sz w:val="20"/>
          <w:szCs w:val="20"/>
          <w:lang w:val="en-US"/>
        </w:rPr>
      </w:pPr>
      <w:r>
        <w:rPr>
          <w:rFonts w:hint="eastAsia" w:eastAsia="等线"/>
          <w:b/>
          <w:bCs/>
          <w:lang w:val="en-US" w:eastAsia="zh-CN"/>
        </w:rPr>
        <w:t>Proposal 1: RAN3 to consider the enhancement for mobile IAB-DU</w:t>
      </w:r>
      <w:r>
        <w:rPr>
          <w:rFonts w:hint="default" w:eastAsia="等线"/>
          <w:b/>
          <w:bCs/>
          <w:lang w:val="en-US" w:eastAsia="zh-CN"/>
        </w:rPr>
        <w:t>’</w:t>
      </w:r>
      <w:r>
        <w:rPr>
          <w:rFonts w:hint="eastAsia" w:eastAsia="等线"/>
          <w:b/>
          <w:bCs/>
          <w:lang w:val="en-US" w:eastAsia="zh-CN"/>
        </w:rPr>
        <w:t>s PCI collision avoidance during the collocated mobile IAB-MT</w:t>
      </w:r>
      <w:r>
        <w:rPr>
          <w:rFonts w:hint="default" w:eastAsia="等线"/>
          <w:b/>
          <w:bCs/>
          <w:lang w:val="en-US" w:eastAsia="zh-CN"/>
        </w:rPr>
        <w:t>’</w:t>
      </w:r>
      <w:r>
        <w:rPr>
          <w:rFonts w:hint="eastAsia" w:eastAsia="等线"/>
          <w:b/>
          <w:bCs/>
          <w:lang w:val="en-US" w:eastAsia="zh-CN"/>
        </w:rPr>
        <w:t>s HO preparation phase.</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 and RAN3 impacts</w:t>
      </w:r>
      <w:r>
        <w:rPr>
          <w:rFonts w:hint="eastAsia" w:ascii="Times New Roman" w:hAnsi="Times New Roman" w:cs="Times New Roman"/>
          <w:sz w:val="20"/>
          <w:szCs w:val="20"/>
          <w:lang w:val="en-US" w:eastAsia="zh-CN"/>
        </w:rPr>
        <w:t xml:space="preserve">. The following observation and proposal are presented: </w:t>
      </w:r>
    </w:p>
    <w:bookmarkEnd w:id="0"/>
    <w:p>
      <w:pPr>
        <w:numPr>
          <w:ilvl w:val="-1"/>
          <w:numId w:val="0"/>
        </w:numPr>
        <w:jc w:val="both"/>
        <w:rPr>
          <w:rFonts w:hint="default"/>
          <w:b/>
          <w:bCs/>
          <w:highlight w:val="none"/>
          <w:lang w:val="en-US" w:eastAsia="zh-CN"/>
        </w:rPr>
      </w:pPr>
      <w:r>
        <w:rPr>
          <w:rFonts w:hint="eastAsia"/>
          <w:b/>
          <w:bCs/>
          <w:highlight w:val="none"/>
          <w:lang w:val="en-US" w:eastAsia="zh-CN"/>
        </w:rPr>
        <w:t xml:space="preserve">Observation 1: According to the legacy specification, once PCI collision is detected, the CU may request a new PCI from OAM or </w:t>
      </w:r>
      <w:r>
        <w:rPr>
          <w:b/>
          <w:bCs/>
          <w:highlight w:val="none"/>
          <w:lang w:val="en-US" w:eastAsia="zh-CN"/>
        </w:rPr>
        <w:t>select a new PCI value from the pre</w:t>
      </w:r>
      <w:r>
        <w:rPr>
          <w:rFonts w:hint="eastAsia"/>
          <w:b/>
          <w:bCs/>
          <w:highlight w:val="none"/>
          <w:lang w:val="en-US" w:eastAsia="zh-CN"/>
        </w:rPr>
        <w:t>-</w:t>
      </w:r>
      <w:bookmarkStart w:id="1" w:name="_GoBack"/>
      <w:bookmarkEnd w:id="1"/>
      <w:r>
        <w:rPr>
          <w:b/>
          <w:bCs/>
          <w:highlight w:val="none"/>
          <w:lang w:val="en-US" w:eastAsia="zh-CN"/>
        </w:rPr>
        <w:t>configured PCI list for the NR cell</w:t>
      </w:r>
      <w:r>
        <w:rPr>
          <w:rFonts w:hint="eastAsia"/>
          <w:b/>
          <w:bCs/>
          <w:highlight w:val="none"/>
          <w:lang w:val="en-US" w:eastAsia="zh-CN"/>
        </w:rPr>
        <w:t xml:space="preserve">, </w:t>
      </w:r>
      <w:r>
        <w:rPr>
          <w:b/>
          <w:bCs/>
          <w:highlight w:val="none"/>
          <w:lang w:val="en-US" w:eastAsia="zh-CN"/>
        </w:rPr>
        <w:t>and send it to the gNB-DU by either F1 Setup procedure or gNB-CU configuration update procedure</w:t>
      </w:r>
      <w:r>
        <w:rPr>
          <w:rFonts w:hint="eastAsia"/>
          <w:b/>
          <w:bCs/>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sz w:val="20"/>
          <w:szCs w:val="20"/>
          <w:lang w:val="en-US"/>
        </w:rPr>
      </w:pPr>
      <w:r>
        <w:rPr>
          <w:rFonts w:hint="eastAsia" w:eastAsia="等线"/>
          <w:b/>
          <w:bCs/>
          <w:lang w:val="en-US" w:eastAsia="zh-CN"/>
        </w:rPr>
        <w:t>Proposal 1: RAN3 to consider the enhancement for mobile IAB-DU</w:t>
      </w:r>
      <w:r>
        <w:rPr>
          <w:rFonts w:hint="default" w:eastAsia="等线"/>
          <w:b/>
          <w:bCs/>
          <w:lang w:val="en-US" w:eastAsia="zh-CN"/>
        </w:rPr>
        <w:t>’</w:t>
      </w:r>
      <w:r>
        <w:rPr>
          <w:rFonts w:hint="eastAsia" w:eastAsia="等线"/>
          <w:b/>
          <w:bCs/>
          <w:lang w:val="en-US" w:eastAsia="zh-CN"/>
        </w:rPr>
        <w:t>s PCI collision avoidance during the collocated mobile IAB-MT</w:t>
      </w:r>
      <w:r>
        <w:rPr>
          <w:rFonts w:hint="default" w:eastAsia="等线"/>
          <w:b/>
          <w:bCs/>
          <w:lang w:val="en-US" w:eastAsia="zh-CN"/>
        </w:rPr>
        <w:t>’</w:t>
      </w:r>
      <w:r>
        <w:rPr>
          <w:rFonts w:hint="eastAsia" w:eastAsia="等线"/>
          <w:b/>
          <w:bCs/>
          <w:lang w:val="en-US" w:eastAsia="zh-CN"/>
        </w:rPr>
        <w:t>s HO preparation phase</w:t>
      </w:r>
      <w:r>
        <w:rPr>
          <w:rFonts w:hint="eastAsia" w:cs="Times New Roman"/>
          <w:b/>
          <w:bCs/>
          <w:sz w:val="20"/>
          <w:szCs w:val="20"/>
          <w:highlight w:val="none"/>
          <w:lang w:val="en-US" w:eastAsia="zh-CN"/>
        </w:rPr>
        <w:t>.</w:t>
      </w:r>
    </w:p>
    <w:p>
      <w:pPr>
        <w:pStyle w:val="2"/>
        <w:rPr>
          <w:rFonts w:eastAsia="宋体"/>
          <w:lang w:eastAsia="zh-CN"/>
        </w:rPr>
      </w:pPr>
      <w:r>
        <w:rPr>
          <w:rFonts w:hint="eastAsia" w:eastAsia="宋体"/>
          <w:lang w:eastAsia="zh-CN"/>
        </w:rPr>
        <w:t>Reference</w:t>
      </w:r>
    </w:p>
    <w:p>
      <w:pPr>
        <w:numPr>
          <w:ilvl w:val="0"/>
          <w:numId w:val="14"/>
        </w:numPr>
        <w:rPr>
          <w:rFonts w:hint="default"/>
          <w:b w:val="0"/>
          <w:bCs w:val="0"/>
          <w:lang w:val="en-US" w:eastAsia="zh-CN"/>
        </w:rPr>
      </w:pPr>
      <w:r>
        <w:rPr>
          <w:rFonts w:hint="eastAsia"/>
          <w:b w:val="0"/>
          <w:bCs w:val="0"/>
          <w:lang w:val="en-US" w:eastAsia="zh-CN"/>
        </w:rPr>
        <w:t>RAN3#117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D7DFD104"/>
    <w:multiLevelType w:val="singleLevel"/>
    <w:tmpl w:val="D7DFD104"/>
    <w:lvl w:ilvl="0" w:tentative="0">
      <w:start w:val="1"/>
      <w:numFmt w:val="bullet"/>
      <w:lvlText w:val=""/>
      <w:lvlJc w:val="left"/>
      <w:pPr>
        <w:ind w:left="420" w:hanging="42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7"/>
  </w:num>
  <w:num w:numId="5">
    <w:abstractNumId w:val="13"/>
  </w:num>
  <w:num w:numId="6">
    <w:abstractNumId w:val="11"/>
  </w:num>
  <w:num w:numId="7">
    <w:abstractNumId w:val="9"/>
  </w:num>
  <w:num w:numId="8">
    <w:abstractNumId w:val="12"/>
  </w:num>
  <w:num w:numId="9">
    <w:abstractNumId w:val="6"/>
  </w:num>
  <w:num w:numId="10">
    <w:abstractNumId w:val="5"/>
  </w:num>
  <w:num w:numId="11">
    <w:abstractNumId w:val="3"/>
  </w:num>
  <w:num w:numId="12">
    <w:abstractNumId w:val="8"/>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341628"/>
    <w:rsid w:val="073902B1"/>
    <w:rsid w:val="073C49D1"/>
    <w:rsid w:val="074E1D2A"/>
    <w:rsid w:val="075375FC"/>
    <w:rsid w:val="07543A2A"/>
    <w:rsid w:val="076726AD"/>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615B67"/>
    <w:rsid w:val="0C641E89"/>
    <w:rsid w:val="0C95396A"/>
    <w:rsid w:val="0C997801"/>
    <w:rsid w:val="0C9D2EE3"/>
    <w:rsid w:val="0CA666B8"/>
    <w:rsid w:val="0CAA584B"/>
    <w:rsid w:val="0CB337AA"/>
    <w:rsid w:val="0CBB324D"/>
    <w:rsid w:val="0CBE103D"/>
    <w:rsid w:val="0CD07B3D"/>
    <w:rsid w:val="0CD72E9F"/>
    <w:rsid w:val="0CE6260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C718D0"/>
    <w:rsid w:val="10D1157C"/>
    <w:rsid w:val="10FE147E"/>
    <w:rsid w:val="11060CF2"/>
    <w:rsid w:val="11205E74"/>
    <w:rsid w:val="11362BB8"/>
    <w:rsid w:val="1161496B"/>
    <w:rsid w:val="117A5F3A"/>
    <w:rsid w:val="11824E11"/>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41B597C"/>
    <w:rsid w:val="141C4CDF"/>
    <w:rsid w:val="142E1692"/>
    <w:rsid w:val="14402E2D"/>
    <w:rsid w:val="1453355D"/>
    <w:rsid w:val="145B63BC"/>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E0535F"/>
    <w:rsid w:val="1AE85C73"/>
    <w:rsid w:val="1AE953B6"/>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62C18"/>
    <w:rsid w:val="251263F2"/>
    <w:rsid w:val="253D5605"/>
    <w:rsid w:val="2551345D"/>
    <w:rsid w:val="25517903"/>
    <w:rsid w:val="25660E03"/>
    <w:rsid w:val="256E5CB4"/>
    <w:rsid w:val="25857B5F"/>
    <w:rsid w:val="25863BAA"/>
    <w:rsid w:val="259017DC"/>
    <w:rsid w:val="25917816"/>
    <w:rsid w:val="25AC7098"/>
    <w:rsid w:val="25B04816"/>
    <w:rsid w:val="25C05E82"/>
    <w:rsid w:val="25CD18C3"/>
    <w:rsid w:val="25F534FD"/>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70636C6"/>
    <w:rsid w:val="27171992"/>
    <w:rsid w:val="27175BED"/>
    <w:rsid w:val="271F5352"/>
    <w:rsid w:val="27203B3F"/>
    <w:rsid w:val="272A5204"/>
    <w:rsid w:val="273534DB"/>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81FC5"/>
    <w:rsid w:val="2A0F4C0F"/>
    <w:rsid w:val="2A1E00C4"/>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C733D4"/>
    <w:rsid w:val="2CEF1368"/>
    <w:rsid w:val="2D003307"/>
    <w:rsid w:val="2D0C15E0"/>
    <w:rsid w:val="2D1E4FBA"/>
    <w:rsid w:val="2D2140D4"/>
    <w:rsid w:val="2D2855DC"/>
    <w:rsid w:val="2D4D471C"/>
    <w:rsid w:val="2D4F527C"/>
    <w:rsid w:val="2DA17515"/>
    <w:rsid w:val="2DE865BD"/>
    <w:rsid w:val="2DFB1A06"/>
    <w:rsid w:val="2E092C11"/>
    <w:rsid w:val="2E1F0139"/>
    <w:rsid w:val="2E330E8B"/>
    <w:rsid w:val="2E3527A8"/>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B4149"/>
    <w:rsid w:val="35CF7FA2"/>
    <w:rsid w:val="35E426C4"/>
    <w:rsid w:val="35EC0EA5"/>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8627D"/>
    <w:rsid w:val="3A397D3B"/>
    <w:rsid w:val="3A3F482E"/>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4B4AC1"/>
    <w:rsid w:val="3B6564B7"/>
    <w:rsid w:val="3B6A3A42"/>
    <w:rsid w:val="3B6F700F"/>
    <w:rsid w:val="3B7B164F"/>
    <w:rsid w:val="3B943330"/>
    <w:rsid w:val="3BB53769"/>
    <w:rsid w:val="3BB80A6D"/>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455FAC"/>
    <w:rsid w:val="4448573B"/>
    <w:rsid w:val="44537B36"/>
    <w:rsid w:val="4455753D"/>
    <w:rsid w:val="44595264"/>
    <w:rsid w:val="4491669D"/>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C1358E"/>
    <w:rsid w:val="46C2390C"/>
    <w:rsid w:val="46CB5241"/>
    <w:rsid w:val="46D21853"/>
    <w:rsid w:val="46E2108D"/>
    <w:rsid w:val="46E96B79"/>
    <w:rsid w:val="46EA0145"/>
    <w:rsid w:val="47022B62"/>
    <w:rsid w:val="471039C2"/>
    <w:rsid w:val="472C799C"/>
    <w:rsid w:val="473A324F"/>
    <w:rsid w:val="4743147C"/>
    <w:rsid w:val="4750010D"/>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82F5B"/>
    <w:rsid w:val="49244CE0"/>
    <w:rsid w:val="49382013"/>
    <w:rsid w:val="493A5A98"/>
    <w:rsid w:val="49590A49"/>
    <w:rsid w:val="49616839"/>
    <w:rsid w:val="497C1D1C"/>
    <w:rsid w:val="49831F08"/>
    <w:rsid w:val="499E4E6A"/>
    <w:rsid w:val="49B52D72"/>
    <w:rsid w:val="49E11940"/>
    <w:rsid w:val="4A045247"/>
    <w:rsid w:val="4A052754"/>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757666"/>
    <w:rsid w:val="53825209"/>
    <w:rsid w:val="538C2035"/>
    <w:rsid w:val="538C7108"/>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573734"/>
    <w:rsid w:val="575C4AF3"/>
    <w:rsid w:val="576F1DFA"/>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E180C"/>
    <w:rsid w:val="64E200DF"/>
    <w:rsid w:val="64E82C1E"/>
    <w:rsid w:val="64EE6C4C"/>
    <w:rsid w:val="64F222DB"/>
    <w:rsid w:val="650D5A50"/>
    <w:rsid w:val="65502950"/>
    <w:rsid w:val="6551495B"/>
    <w:rsid w:val="655B7A5A"/>
    <w:rsid w:val="655F405B"/>
    <w:rsid w:val="656958A2"/>
    <w:rsid w:val="656A4BC3"/>
    <w:rsid w:val="656A4FDD"/>
    <w:rsid w:val="657C41E0"/>
    <w:rsid w:val="65820642"/>
    <w:rsid w:val="6591468C"/>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20040E9"/>
    <w:rsid w:val="720B6DA8"/>
    <w:rsid w:val="72117B8C"/>
    <w:rsid w:val="721F3D0A"/>
    <w:rsid w:val="72310BD0"/>
    <w:rsid w:val="7258546A"/>
    <w:rsid w:val="725D40AA"/>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B135B8"/>
    <w:rsid w:val="77B165CE"/>
    <w:rsid w:val="77B36903"/>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F0FFD"/>
    <w:rsid w:val="795C4945"/>
    <w:rsid w:val="7978297F"/>
    <w:rsid w:val="797F4B00"/>
    <w:rsid w:val="798B055F"/>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2</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2022-09-28T08:19:44Z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